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21 134 vom 23. September 2021</w:t>
      </w:r>
    </w:p>
    <w:p>
      <w:r>
        <w:t>BL Gerichte, 2021-09-23, DE</w:t>
      </w:r>
    </w:p>
    <w:p>
      <w:r>
        <w:rPr>
          <w:b/>
        </w:rPr>
        <w:t xml:space="preserve">Quelle: </w:t>
      </w:r>
      <w:r>
        <w:t>https://mcp.opencaselaw.ch/entscheid/bl_gerichte_810 21 134</w:t>
      </w:r>
    </w:p>
    <w:p>
      <w:r>
        <w:t>FR: BL_GERICHTE 810 21 134 du 23 septembre 2021</w:t>
      </w:r>
    </w:p>
    <w:p>
      <w:r>
        <w:t>IT: BL_GERICHTE 810 21 134 del 23 settembre 2021</w:t>
      </w:r>
    </w:p>
    <w:p>
      <w:pPr>
        <w:pStyle w:val="Heading2"/>
      </w:pPr>
      <w:r>
        <w:t>Regeste</w:t>
      </w:r>
    </w:p>
    <w:p>
      <w:r>
        <w:t>Unentgeltliche Verbeiständung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800.-- werden der Kindes- und Erwachsenenschutzbehörde B.____ auferlegt.</w:t>
      </w:r>
    </w:p>
    <w:p>
      <w:r>
        <w:rPr>
          <w:b/>
        </w:rPr>
        <w:t>E. 3</w:t>
      </w:r>
    </w:p>
    <w:p>
      <w:r>
        <w:t>Die Kindes- und Erwachsenenschutzbehörde B.____ hat dem Beschwerdeführer für das Verfahren vor Kantonsgericht eine Parteientschädigung in der Höhe von Fr. 1'584.05 (inkl. Auslagen und 7.7% MWST) auszurichten.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